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widowControl/>
        <w:suppressAutoHyphens w:val="true"/>
        <w:bidi w:val="0"/>
        <w:spacing w:lineRule="auto" w:line="276" w:before="480" w:after="0"/>
        <w:ind w:right="0" w:hanging="0"/>
        <w:jc w:val="left"/>
        <w:rPr>
          <w:rFonts w:ascii="Arial" w:hAnsi="Arial"/>
        </w:rPr>
      </w:pP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>Załącznik nr 8 do SWZ</w:t>
      </w:r>
    </w:p>
    <w:p>
      <w:pPr>
        <w:pStyle w:val="Tretekstu"/>
        <w:widowControl/>
        <w:suppressAutoHyphens w:val="true"/>
        <w:bidi w:val="0"/>
        <w:spacing w:lineRule="auto" w:line="276" w:before="480" w:after="0"/>
        <w:ind w:right="0" w:hanging="0"/>
        <w:jc w:val="left"/>
        <w:rPr>
          <w:rFonts w:ascii="Arial" w:hAnsi="Arial"/>
        </w:rPr>
      </w:pP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>BZP.271</w:t>
      </w: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shd w:fill="auto" w:val="clear"/>
          <w:em w:val="none"/>
        </w:rPr>
        <w:t>.17.2</w:t>
      </w: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 xml:space="preserve">022  Dostawa 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>urządzeń komputerowych</w:t>
      </w:r>
      <w:r>
        <w:rPr>
          <w:rFonts w:eastAsia="Times New Roman" w:cs="Calibri" w:ascii="Arial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sz w:val="24"/>
          <w:szCs w:val="24"/>
          <w:u w:val="none"/>
          <w:em w:val="none"/>
        </w:rPr>
        <w:t xml:space="preserve"> w ramach projektu grantowego „Cyfrowa Gmina”</w:t>
      </w:r>
    </w:p>
    <w:p>
      <w:pPr>
        <w:pStyle w:val="Normal"/>
        <w:spacing w:lineRule="auto" w:line="252" w:before="480" w:after="0"/>
        <w:ind w:left="5245" w:firstLine="709"/>
        <w:rPr>
          <w:rFonts w:ascii="Arial" w:hAnsi="Arial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Arial" w:hAnsi="Arial"/>
        </w:rPr>
      </w:pPr>
      <w:r>
        <w:rPr>
          <w:rFonts w:eastAsia="Liberation Serif;Times New Roman" w:cs="Liberation Serif;Times New Roman" w:ascii="Arial" w:hAnsi="Arial"/>
          <w:b w:val="false"/>
          <w:bCs w:val="false"/>
          <w:color w:val="000000"/>
          <w:sz w:val="24"/>
          <w:szCs w:val="24"/>
          <w:u w:val="none"/>
          <w:lang w:val="pl-PL" w:eastAsia="zh-CN" w:bidi="ar-SA"/>
        </w:rPr>
        <w:t xml:space="preserve">Gmina Andrychów </w:t>
      </w:r>
    </w:p>
    <w:p>
      <w:pPr>
        <w:pStyle w:val="Normal"/>
        <w:spacing w:lineRule="auto" w:line="240" w:before="0" w:after="0"/>
        <w:ind w:left="5954" w:hanging="0"/>
        <w:rPr>
          <w:rFonts w:ascii="Arial" w:hAnsi="Arial"/>
        </w:rPr>
      </w:pPr>
      <w:r>
        <w:rPr>
          <w:rFonts w:eastAsia="Calibri" w:cs="Arial" w:ascii="Arial" w:hAnsi="Arial" w:eastAsiaTheme="minorHAnsi"/>
          <w:b w:val="false"/>
          <w:bCs w:val="false"/>
          <w:color w:val="auto"/>
          <w:kern w:val="0"/>
          <w:sz w:val="24"/>
          <w:szCs w:val="24"/>
          <w:u w:val="none"/>
          <w:lang w:val="pl-PL" w:eastAsia="en-US" w:bidi="ar-SA"/>
        </w:rPr>
        <w:t>Rynek</w:t>
      </w:r>
      <w:r>
        <w:rPr>
          <w:rFonts w:eastAsia="Liberation Serif;Times New Roman" w:cs="Liberation Serif;Times New Roman" w:ascii="Arial" w:hAnsi="Arial"/>
          <w:b w:val="false"/>
          <w:bCs w:val="false"/>
          <w:color w:val="000000"/>
          <w:sz w:val="24"/>
          <w:szCs w:val="24"/>
          <w:u w:val="none"/>
          <w:lang w:val="pl-PL" w:eastAsia="zh-CN" w:bidi="ar-SA"/>
        </w:rPr>
        <w:t xml:space="preserve"> 15</w:t>
      </w:r>
    </w:p>
    <w:p>
      <w:pPr>
        <w:pStyle w:val="Normal"/>
        <w:spacing w:lineRule="auto" w:line="240" w:before="0" w:after="0"/>
        <w:ind w:left="5954" w:hanging="0"/>
        <w:rPr>
          <w:rFonts w:ascii="Arial" w:hAnsi="Arial"/>
        </w:rPr>
      </w:pPr>
      <w:r>
        <w:rPr>
          <w:rFonts w:eastAsia="Liberation Serif;Times New Roman" w:cs="Liberation Serif;Times New Roman" w:ascii="Arial" w:hAnsi="Arial"/>
          <w:b w:val="false"/>
          <w:bCs w:val="false"/>
          <w:color w:val="000000"/>
          <w:sz w:val="24"/>
          <w:szCs w:val="24"/>
          <w:u w:val="none"/>
          <w:lang w:val="pl-PL" w:eastAsia="zh-CN" w:bidi="ar-SA"/>
        </w:rPr>
        <w:t xml:space="preserve">34-120 Andrychów </w:t>
      </w:r>
    </w:p>
    <w:p>
      <w:pPr>
        <w:pStyle w:val="Normal"/>
        <w:spacing w:lineRule="auto" w:line="240" w:before="0" w:after="0"/>
        <w:ind w:lef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52" w:before="480" w:after="0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Podmiot udostępniający zasoby: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Oświadczenia podmiotu udostępniającego zasoby </w:t>
      </w:r>
    </w:p>
    <w:p>
      <w:pPr>
        <w:pStyle w:val="Normal"/>
        <w:spacing w:lineRule="auto" w:line="360" w:before="120" w:after="0"/>
        <w:jc w:val="center"/>
        <w:rPr>
          <w:b w:val="false"/>
          <w:b w:val="false"/>
          <w:bCs w:val="false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sz w:val="24"/>
          <w:szCs w:val="24"/>
          <w:u w:val="non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 w:val="false"/>
          <w:bCs w:val="false"/>
          <w:caps/>
          <w:sz w:val="24"/>
          <w:szCs w:val="24"/>
          <w:u w:val="non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sz w:val="21"/>
          <w:szCs w:val="21"/>
        </w:rPr>
        <w:t>składane na podstawie art. 125 ust. 5 ustawy Pzp</w:t>
      </w:r>
    </w:p>
    <w:p>
      <w:pPr>
        <w:pStyle w:val="Normal"/>
        <w:spacing w:lineRule="auto" w:line="360" w:before="240" w:after="0"/>
        <w:ind w:hanging="0"/>
        <w:jc w:val="left"/>
        <w:rPr>
          <w:rFonts w:ascii="Arial" w:hAnsi="Arial" w:eastAsia="Calibri" w:cs="Arial" w:eastAsiaTheme="minorHAnsi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 xml:space="preserve">Na potrzeby postępowania o udzielenie zamówienia publicznego pn. </w:t>
      </w:r>
      <w:r>
        <w:rPr>
          <w:rFonts w:eastAsia="Calibri" w:cs="Arial" w:ascii="Arial" w:hAnsi="Arial" w:eastAsiaTheme="minorHAns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auto"/>
          <w:spacing w:val="1"/>
          <w:kern w:val="0"/>
          <w:sz w:val="24"/>
          <w:szCs w:val="24"/>
          <w:u w:val="none"/>
          <w:em w:val="none"/>
          <w:lang w:val="pl-PL" w:eastAsia="en-US" w:bidi="ar-SA"/>
        </w:rPr>
        <w:t xml:space="preserve">Dostawa 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1"/>
          <w:kern w:val="0"/>
          <w:sz w:val="24"/>
          <w:szCs w:val="24"/>
          <w:u w:val="none"/>
          <w:em w:val="none"/>
          <w:lang w:val="pl-PL" w:eastAsia="en-US" w:bidi="ar-SA"/>
        </w:rPr>
        <w:t>urządzeń komputerowych</w:t>
      </w:r>
      <w:r>
        <w:rPr>
          <w:rFonts w:eastAsia="Calibri" w:cs="Arial" w:ascii="Arial" w:hAnsi="Arial" w:eastAsiaTheme="minorHAns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auto"/>
          <w:spacing w:val="1"/>
          <w:kern w:val="0"/>
          <w:sz w:val="24"/>
          <w:szCs w:val="24"/>
          <w:u w:val="none"/>
          <w:em w:val="none"/>
          <w:lang w:val="pl-PL" w:eastAsia="en-US" w:bidi="ar-SA"/>
        </w:rPr>
        <w:t xml:space="preserve"> w ramach projektu grantowego „Cyfrowa Gmina”</w:t>
      </w: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 xml:space="preserve"> ,</w:t>
      </w:r>
      <w:r>
        <w:rPr>
          <w:rFonts w:eastAsia="Calibri" w:cs="Arial" w:ascii="Arial" w:hAnsi="Arial" w:eastAsiaTheme="minorHAnsi"/>
          <w:i/>
          <w:color w:val="auto"/>
          <w:kern w:val="0"/>
          <w:sz w:val="24"/>
          <w:szCs w:val="24"/>
          <w:lang w:val="pl-PL" w:eastAsia="en-US" w:bidi="ar-SA"/>
        </w:rPr>
        <w:t xml:space="preserve"> </w:t>
      </w: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 xml:space="preserve">prowadzonego przez prowadzonego przez </w:t>
      </w:r>
      <w:r>
        <w:rPr>
          <w:rFonts w:eastAsia="Calibri" w:cs="Arial" w:ascii="Arial" w:hAnsi="Arial" w:eastAsiaTheme="minorHAnsi"/>
          <w:b w:val="false"/>
          <w:bCs w:val="false"/>
          <w:color w:val="auto"/>
          <w:kern w:val="0"/>
          <w:sz w:val="24"/>
          <w:szCs w:val="24"/>
          <w:u w:val="none"/>
          <w:lang w:val="pl-PL" w:eastAsia="en-US" w:bidi="ar-SA"/>
        </w:rPr>
        <w:t xml:space="preserve">Gmina Andrychów, Rynek 15, 34-120 Andrychów </w:t>
      </w:r>
      <w:r>
        <w:rPr>
          <w:rFonts w:eastAsia="Calibri" w:cs="Arial" w:ascii="Arial" w:hAnsi="Arial" w:eastAsiaTheme="minorHAnsi"/>
          <w:i/>
          <w:color w:val="auto"/>
          <w:kern w:val="0"/>
          <w:sz w:val="24"/>
          <w:szCs w:val="24"/>
          <w:lang w:val="pl-PL" w:eastAsia="en-US" w:bidi="ar-SA"/>
        </w:rPr>
        <w:t xml:space="preserve">, </w:t>
      </w:r>
      <w:r>
        <w:rPr>
          <w:rFonts w:eastAsia="Calibri" w:cs="Arial" w:ascii="Arial" w:hAnsi="Arial" w:eastAsiaTheme="minorHAnsi"/>
          <w:color w:val="auto"/>
          <w:kern w:val="0"/>
          <w:sz w:val="24"/>
          <w:szCs w:val="24"/>
          <w:lang w:val="pl-PL" w:eastAsia="en-US" w:bidi="ar-SA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PODMIOTU UDOSTEPNIAJĄCEGO ZASOBY:</w:t>
      </w:r>
    </w:p>
    <w:p>
      <w:pPr>
        <w:pStyle w:val="ListParagraph"/>
        <w:numPr>
          <w:ilvl w:val="0"/>
          <w:numId w:val="2"/>
        </w:numPr>
        <w:spacing w:lineRule="auto" w:line="360" w:before="360" w:after="0"/>
        <w:contextualSpacing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4"/>
          <w:szCs w:val="24"/>
        </w:rPr>
        <w:footnoteReference w:id="2"/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Arial" w:hAnsi="Arial"/>
          <w:color w:val="222222"/>
          <w:sz w:val="24"/>
          <w:szCs w:val="24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4"/>
          <w:szCs w:val="24"/>
        </w:rPr>
        <w:t>z dnia 13 kwietnia 2022 r.</w:t>
      </w:r>
      <w:r>
        <w:rPr>
          <w:rFonts w:cs="Arial" w:ascii="Arial" w:hAnsi="Arial"/>
          <w:i/>
          <w:iCs/>
          <w:color w:val="222222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4"/>
          <w:szCs w:val="24"/>
        </w:rPr>
        <w:t>(Dz. U. poz. 835)</w:t>
      </w:r>
      <w:r>
        <w:rPr>
          <w:rFonts w:cs="Arial" w:ascii="Arial" w:hAnsi="Arial"/>
          <w:i/>
          <w:iCs/>
          <w:color w:val="222222"/>
          <w:sz w:val="24"/>
          <w:szCs w:val="24"/>
        </w:rPr>
        <w:t>.</w:t>
      </w:r>
      <w:r>
        <w:rPr>
          <w:rStyle w:val="Zakotwiczenieprzypisudolnego"/>
          <w:rFonts w:cs="Arial" w:ascii="Arial" w:hAnsi="Arial"/>
          <w:color w:val="222222"/>
          <w:sz w:val="24"/>
          <w:szCs w:val="24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360" w:before="0" w:after="160"/>
        <w:ind w:left="0" w:right="0" w:firstLine="447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 ……</w:t>
      </w:r>
      <w:r>
        <w:rPr>
          <w:rFonts w:cs="Arial" w:ascii="Arial" w:hAnsi="Arial"/>
          <w:sz w:val="21"/>
          <w:szCs w:val="21"/>
        </w:rPr>
        <w:t>...……………………………….</w:t>
      </w:r>
    </w:p>
    <w:p>
      <w:pPr>
        <w:pStyle w:val="Normal"/>
        <w:widowControl/>
        <w:suppressAutoHyphens w:val="true"/>
        <w:bidi w:val="0"/>
        <w:spacing w:lineRule="auto" w:line="360" w:before="0" w:after="160"/>
        <w:ind w:left="0" w:right="0" w:firstLine="4479"/>
        <w:jc w:val="left"/>
        <w:rPr/>
      </w:pPr>
      <w:r>
        <w:rPr>
          <w:rFonts w:cs="Arial" w:ascii="Arial" w:hAnsi="Arial"/>
          <w:i/>
          <w:sz w:val="16"/>
          <w:szCs w:val="16"/>
        </w:rPr>
        <w:t xml:space="preserve">   </w:t>
      </w:r>
      <w:r>
        <w:rPr>
          <w:rFonts w:cs="Arial" w:ascii="Arial" w:hAnsi="Arial"/>
          <w:i/>
          <w:sz w:val="16"/>
          <w:szCs w:val="16"/>
        </w:rPr>
        <w:t xml:space="preserve">Data; </w:t>
      </w:r>
      <w:r>
        <w:rPr>
          <w:rFonts w:eastAsia="Calibri" w:cs="Arial" w:ascii="Arial" w:hAnsi="Arial" w:eastAsiaTheme="minorHAnsi"/>
          <w:i/>
          <w:iCs/>
          <w:color w:val="auto"/>
          <w:kern w:val="0"/>
          <w:sz w:val="16"/>
          <w:szCs w:val="16"/>
          <w:lang w:val="pl-PL" w:eastAsia="en-US" w:bidi="ar-SA"/>
        </w:rPr>
        <w:t>podpis Podmiotu/ osoby upoważnionej</w:t>
      </w:r>
    </w:p>
    <w:p>
      <w:pPr>
        <w:pStyle w:val="Normal"/>
        <w:widowControl/>
        <w:suppressAutoHyphens w:val="true"/>
        <w:bidi w:val="0"/>
        <w:spacing w:lineRule="auto" w:line="360" w:before="0" w:after="160"/>
        <w:ind w:left="0" w:right="0" w:firstLine="4479"/>
        <w:jc w:val="left"/>
        <w:rPr/>
      </w:pPr>
      <w:r>
        <w:rPr>
          <w:rFonts w:eastAsia="Calibri" w:cs="Arial" w:ascii="Arial" w:hAnsi="Arial" w:eastAsiaTheme="minorHAnsi"/>
          <w:i/>
          <w:iCs/>
          <w:color w:val="auto"/>
          <w:kern w:val="0"/>
          <w:sz w:val="16"/>
          <w:szCs w:val="16"/>
          <w:lang w:val="pl-PL" w:eastAsia="en-US" w:bidi="ar-SA"/>
        </w:rPr>
        <w:t xml:space="preserve">  </w:t>
      </w:r>
      <w:r>
        <w:rPr>
          <w:rFonts w:eastAsia="Calibri" w:cs="Arial" w:ascii="Arial" w:hAnsi="Arial" w:eastAsiaTheme="minorHAnsi"/>
          <w:i/>
          <w:iCs/>
          <w:color w:val="auto"/>
          <w:kern w:val="0"/>
          <w:sz w:val="16"/>
          <w:szCs w:val="16"/>
          <w:lang w:val="pl-PL" w:eastAsia="en-US" w:bidi="ar-SA"/>
        </w:rPr>
        <w:t>do reprezentacji Podmiotu (</w:t>
      </w:r>
      <w:bookmarkStart w:id="0" w:name="_Hlk102639179"/>
      <w:r>
        <w:rPr>
          <w:rFonts w:cs="Arial" w:ascii="Arial" w:hAnsi="Arial"/>
          <w:i/>
          <w:sz w:val="16"/>
          <w:szCs w:val="16"/>
        </w:rPr>
        <w:t>k</w:t>
      </w:r>
      <w:bookmarkStart w:id="1" w:name="_GoBack"/>
      <w:bookmarkEnd w:id="1"/>
      <w:r>
        <w:rPr>
          <w:rFonts w:cs="Arial" w:ascii="Arial" w:hAnsi="Arial"/>
          <w:i/>
          <w:sz w:val="16"/>
          <w:szCs w:val="16"/>
        </w:rPr>
        <w:t xml:space="preserve">walifikowany podpis elektroniczny) </w:t>
      </w:r>
      <w:bookmarkEnd w:id="0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1134" w:gutter="0" w:header="283" w:top="1942" w:footer="0" w:bottom="28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59450" cy="594995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" t="-118" r="-12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4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widowControl/>
      <w:suppressLineNumbers/>
      <w:shd w:val="clear" w:fill="FFFFFF"/>
      <w:suppressAutoHyphens w:val="true"/>
      <w:overflowPunct w:val="true"/>
      <w:bidi w:val="0"/>
      <w:spacing w:before="0" w:after="0"/>
      <w:ind w:left="0" w:right="0" w:hanging="0"/>
      <w:jc w:val="center"/>
      <w:textAlignment w:val="auto"/>
      <w:rPr>
        <w:lang w:val="pl-PL" w:eastAsia="pl-PL"/>
      </w:rPr>
    </w:pPr>
    <w:r>
      <w:rPr>
        <w:rFonts w:eastAsia="Times New Roman" w:cs="Calibri" w:ascii="Tahoma" w:hAnsi="Tahoma"/>
        <w:b w:val="false"/>
        <w:bCs w:val="false"/>
        <w:i w:val="false"/>
        <w:iCs w:val="false"/>
        <w:strike w:val="false"/>
        <w:dstrike w:val="false"/>
        <w:outline w:val="false"/>
        <w:shadow w:val="false"/>
        <w:color w:val="000000"/>
        <w:spacing w:val="1"/>
        <w:kern w:val="0"/>
        <w:position w:val="0"/>
        <w:sz w:val="21"/>
        <w:sz w:val="21"/>
        <w:szCs w:val="21"/>
        <w:u w:val="none"/>
        <w:shd w:fill="auto" w:val="clear"/>
        <w:vertAlign w:val="baseline"/>
        <w:em w:val="none"/>
        <w:lang w:val="pl-PL" w:eastAsia="zh-CN" w:bidi="ar-SA"/>
      </w:rPr>
      <w:t>Sfinansowano w ramach reakcji Unii na pandemię COVID-19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1585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81585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81585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d81585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3b1084"/>
    <w:rPr>
      <w:i/>
      <w:i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b109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5b109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b1094"/>
    <w:rPr>
      <w:b/>
      <w:bCs/>
      <w:sz w:val="20"/>
      <w:szCs w:val="20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d81585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5344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b5344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5b109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b1094"/>
    <w:pPr/>
    <w:rPr>
      <w:b/>
      <w:bCs/>
    </w:rPr>
  </w:style>
  <w:style w:type="paragraph" w:styleId="Revision">
    <w:name w:val="Revision"/>
    <w:uiPriority w:val="99"/>
    <w:semiHidden/>
    <w:qFormat/>
    <w:rsid w:val="009673a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627" w:leader="none"/>
        <w:tab w:val="right" w:pos="9255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LibreOffice/7.2.7.2$Windows_X86_64 LibreOffice_project/8d71d29d553c0f7dcbfa38fbfda25ee34cce99a2</Application>
  <AppVersion>15.0000</AppVersion>
  <Pages>3</Pages>
  <Words>843</Words>
  <Characters>5354</Characters>
  <CharactersWithSpaces>6158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2022-05-06T13:14:00Z</dcterms:created>
  <dc:creator>Kowalski Artur</dc:creator>
  <dc:description/>
  <dc:language>pl-PL</dc:language>
  <cp:lastModifiedBy/>
  <cp:lastPrinted>2022-07-28T10:05:32Z</cp:lastPrinted>
  <dcterms:modified xsi:type="dcterms:W3CDTF">2022-07-28T12:58:39Z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IntellectualProperty:Authorization:StartValidity">
    <vt:lpwstr>2022-06-23T12:03:15,536000000</vt:lpwstr>
  </property>
  <property fmtid="{D5CDD505-2E9C-101B-9397-08002B2CF9AE}" pid="3" name="urn:bails:IntellectualProperty:Authorization:StopValidity">
    <vt:lpwstr>None</vt:lpwstr>
  </property>
  <property fmtid="{D5CDD505-2E9C-101B-9397-08002B2CF9AE}" pid="4" name="urn:bails:IntellectualProperty:BusinessAuthorization:Identifier">
    <vt:lpwstr>urn:example:tscp:1</vt:lpwstr>
  </property>
  <property fmtid="{D5CDD505-2E9C-101B-9397-08002B2CF9AE}" pid="5" name="urn:bails:IntellectualProperty:BusinessAuthorization:Locator">
    <vt:lpwstr>None</vt:lpwstr>
  </property>
  <property fmtid="{D5CDD505-2E9C-101B-9397-08002B2CF9AE}" pid="6" name="urn:bails:IntellectualProperty:BusinessAuthorization:Name">
    <vt:lpwstr>None</vt:lpwstr>
  </property>
  <property fmtid="{D5CDD505-2E9C-101B-9397-08002B2CF9AE}" pid="7" name="urn:bails:IntellectualProperty:BusinessAuthorizationCategory:Identifier">
    <vt:lpwstr>urn:example:tscp:1:non-business</vt:lpwstr>
  </property>
  <property fmtid="{D5CDD505-2E9C-101B-9397-08002B2CF9AE}" pid="8" name="urn:bails:IntellectualProperty:BusinessAuthorizationCategory:Identifier:OID">
    <vt:lpwstr>None</vt:lpwstr>
  </property>
  <property fmtid="{D5CDD505-2E9C-101B-9397-08002B2CF9AE}" pid="9" name="urn:bails:IntellectualProperty:BusinessAuthorizationCategory:Locator">
    <vt:lpwstr>None</vt:lpwstr>
  </property>
  <property fmtid="{D5CDD505-2E9C-101B-9397-08002B2CF9AE}" pid="10" name="urn:bails:IntellectualProperty:BusinessAuthorizationCategory:Name">
    <vt:lpwstr>Non-Business</vt:lpwstr>
  </property>
  <property fmtid="{D5CDD505-2E9C-101B-9397-08002B2CF9AE}" pid="11" name="urn:bails:IntellectualProperty:CreationOrigin">
    <vt:lpwstr>BAF_POLICY</vt:lpwstr>
  </property>
  <property fmtid="{D5CDD505-2E9C-101B-9397-08002B2CF9AE}" pid="12" name="urn:bails:IntellectualProperty:Impact:Level:Availability">
    <vt:lpwstr>0</vt:lpwstr>
  </property>
  <property fmtid="{D5CDD505-2E9C-101B-9397-08002B2CF9AE}" pid="13" name="urn:bails:IntellectualProperty:Impact:Level:Confidentiality">
    <vt:lpwstr>0</vt:lpwstr>
  </property>
  <property fmtid="{D5CDD505-2E9C-101B-9397-08002B2CF9AE}" pid="14" name="urn:bails:IntellectualProperty:Impact:Level:Integrity">
    <vt:lpwstr>0</vt:lpwstr>
  </property>
  <property fmtid="{D5CDD505-2E9C-101B-9397-08002B2CF9AE}" pid="15" name="urn:bails:IntellectualProperty:Impact:Scale">
    <vt:lpwstr>UK-Cabinet</vt:lpwstr>
  </property>
  <property fmtid="{D5CDD505-2E9C-101B-9397-08002B2CF9AE}" pid="16" name="urn:bails:IntellectualProperty:Marking:document-footer">
    <vt:lpwstr/>
  </property>
  <property fmtid="{D5CDD505-2E9C-101B-9397-08002B2CF9AE}" pid="17" name="urn:bails:IntellectualProperty:Marking:document-header">
    <vt:lpwstr/>
  </property>
  <property fmtid="{D5CDD505-2E9C-101B-9397-08002B2CF9AE}" pid="18" name="urn:bails:IntellectualProperty:Marking:document-watermark">
    <vt:lpwstr/>
  </property>
  <property fmtid="{D5CDD505-2E9C-101B-9397-08002B2CF9AE}" pid="19" name="urn:bails:IntellectualProperty:Marking:email-first-line-of-text">
    <vt:lpwstr/>
  </property>
  <property fmtid="{D5CDD505-2E9C-101B-9397-08002B2CF9AE}" pid="20" name="urn:bails:IntellectualProperty:Marking:email-last-line-of-text">
    <vt:lpwstr/>
  </property>
  <property fmtid="{D5CDD505-2E9C-101B-9397-08002B2CF9AE}" pid="21" name="urn:bails:IntellectualProperty:Marking:email-subject-prefix">
    <vt:lpwstr/>
  </property>
  <property fmtid="{D5CDD505-2E9C-101B-9397-08002B2CF9AE}" pid="22" name="urn:bails:IntellectualProperty:Marking:email-subject-suffix">
    <vt:lpwstr/>
  </property>
  <property fmtid="{D5CDD505-2E9C-101B-9397-08002B2CF9AE}" pid="23" name="urn:bails:IntellectualProperty:Marking:general-distribution-statement">
    <vt:lpwstr/>
  </property>
  <property fmtid="{D5CDD505-2E9C-101B-9397-08002B2CF9AE}" pid="24" name="urn:bails:IntellectualProperty:Marking:general-distribution-statement:ext:2">
    <vt:lpwstr/>
  </property>
  <property fmtid="{D5CDD505-2E9C-101B-9397-08002B2CF9AE}" pid="25" name="urn:bails:IntellectualProperty:Marking:general-distribution-statement:ext:3">
    <vt:lpwstr/>
  </property>
  <property fmtid="{D5CDD505-2E9C-101B-9397-08002B2CF9AE}" pid="26" name="urn:bails:IntellectualProperty:Marking:general-distribution-statement:ext:4">
    <vt:lpwstr/>
  </property>
  <property fmtid="{D5CDD505-2E9C-101B-9397-08002B2CF9AE}" pid="27" name="urn:bails:IntellectualProperty:Marking:general-summary">
    <vt:lpwstr/>
  </property>
  <property fmtid="{D5CDD505-2E9C-101B-9397-08002B2CF9AE}" pid="28" name="urn:bails:IntellectualProperty:Marking:general-warning-statement">
    <vt:lpwstr/>
  </property>
  <property fmtid="{D5CDD505-2E9C-101B-9397-08002B2CF9AE}" pid="29" name="urn:bails:IntellectualProperty:Marking:general-warning-statement:ext:2">
    <vt:lpwstr/>
  </property>
  <property fmtid="{D5CDD505-2E9C-101B-9397-08002B2CF9AE}" pid="30" name="urn:bails:IntellectualProperty:Marking:general-warning-statement:ext:3">
    <vt:lpwstr/>
  </property>
  <property fmtid="{D5CDD505-2E9C-101B-9397-08002B2CF9AE}" pid="31" name="urn:bails:IntellectualProperty:Marking:general-warning-statement:ext:4">
    <vt:lpwstr/>
  </property>
  <property fmtid="{D5CDD505-2E9C-101B-9397-08002B2CF9AE}" pid="32" name="urn:bails:IntellectualProperty:MarkingPrecedence">
    <vt:lpwstr>None</vt:lpwstr>
  </property>
  <property fmtid="{D5CDD505-2E9C-101B-9397-08002B2CF9AE}" pid="33" name="urn:bails:IntellectualProperty:Policy:Identifier">
    <vt:lpwstr>None</vt:lpwstr>
  </property>
  <property fmtid="{D5CDD505-2E9C-101B-9397-08002B2CF9AE}" pid="34" name="urn:bails:IntellectualProperty:Policy:Name">
    <vt:lpwstr>TSCP Example Policy</vt:lpwstr>
  </property>
  <property fmtid="{D5CDD505-2E9C-101B-9397-08002B2CF9AE}" pid="35" name="urn:bails:IntellectualProperty:PolicyAuthority:Country">
    <vt:lpwstr>None</vt:lpwstr>
  </property>
  <property fmtid="{D5CDD505-2E9C-101B-9397-08002B2CF9AE}" pid="36" name="urn:bails:IntellectualProperty:PolicyAuthority:Identifier">
    <vt:lpwstr>None</vt:lpwstr>
  </property>
  <property fmtid="{D5CDD505-2E9C-101B-9397-08002B2CF9AE}" pid="37" name="urn:bails:IntellectualProperty:PolicyAuthority:Name">
    <vt:lpwstr>TSCP Example Policy Authority</vt:lpwstr>
  </property>
</Properties>
</file>